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5607F7" w:rsidTr="00873D05">
        <w:tc>
          <w:tcPr>
            <w:tcW w:w="5211" w:type="dxa"/>
          </w:tcPr>
          <w:p w:rsidR="005607F7" w:rsidRDefault="005607F7" w:rsidP="00873D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07F7" w:rsidRPr="00515AEB" w:rsidRDefault="005607F7" w:rsidP="00873D05">
            <w:pPr>
              <w:rPr>
                <w:color w:val="000000"/>
                <w:sz w:val="24"/>
                <w:szCs w:val="24"/>
              </w:rPr>
            </w:pPr>
            <w:r w:rsidRPr="00515AEB">
              <w:rPr>
                <w:color w:val="000000"/>
                <w:sz w:val="24"/>
                <w:szCs w:val="24"/>
              </w:rPr>
              <w:t>Приложение 2 к приказу</w:t>
            </w:r>
          </w:p>
          <w:p w:rsidR="005607F7" w:rsidRPr="00515AEB" w:rsidRDefault="005607F7" w:rsidP="00873D05">
            <w:pPr>
              <w:rPr>
                <w:color w:val="000000"/>
                <w:sz w:val="24"/>
                <w:szCs w:val="24"/>
              </w:rPr>
            </w:pPr>
            <w:r w:rsidRPr="00515AEB">
              <w:rPr>
                <w:color w:val="000000"/>
                <w:sz w:val="24"/>
                <w:szCs w:val="24"/>
              </w:rPr>
              <w:t>МКУ Управление образования</w:t>
            </w:r>
          </w:p>
          <w:p w:rsidR="005607F7" w:rsidRPr="00515AEB" w:rsidRDefault="005607F7" w:rsidP="00873D05">
            <w:pPr>
              <w:rPr>
                <w:color w:val="000000"/>
                <w:sz w:val="24"/>
                <w:szCs w:val="24"/>
              </w:rPr>
            </w:pPr>
            <w:r w:rsidRPr="00515AEB">
              <w:rPr>
                <w:color w:val="000000"/>
                <w:sz w:val="24"/>
                <w:szCs w:val="24"/>
              </w:rPr>
              <w:t xml:space="preserve">МР </w:t>
            </w:r>
            <w:proofErr w:type="spellStart"/>
            <w:r w:rsidRPr="00515AEB">
              <w:rPr>
                <w:color w:val="000000"/>
                <w:sz w:val="24"/>
                <w:szCs w:val="24"/>
              </w:rPr>
              <w:t>Белебеевский</w:t>
            </w:r>
            <w:proofErr w:type="spellEnd"/>
            <w:r w:rsidRPr="00515AEB">
              <w:rPr>
                <w:color w:val="000000"/>
                <w:sz w:val="24"/>
                <w:szCs w:val="24"/>
              </w:rPr>
              <w:t xml:space="preserve"> район РБ</w:t>
            </w:r>
          </w:p>
          <w:p w:rsidR="005607F7" w:rsidRDefault="005607F7" w:rsidP="00873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от «28</w:t>
            </w:r>
            <w:r w:rsidRPr="00515AEB">
              <w:rPr>
                <w:color w:val="000000"/>
                <w:sz w:val="24"/>
                <w:szCs w:val="24"/>
              </w:rPr>
              <w:t xml:space="preserve">» августа 2019г  № </w:t>
            </w:r>
            <w:r>
              <w:rPr>
                <w:color w:val="000000"/>
                <w:sz w:val="24"/>
                <w:szCs w:val="24"/>
              </w:rPr>
              <w:t>1258</w:t>
            </w:r>
          </w:p>
        </w:tc>
      </w:tr>
    </w:tbl>
    <w:p w:rsidR="005607F7" w:rsidRDefault="005607F7" w:rsidP="005607F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607F7" w:rsidRDefault="005607F7" w:rsidP="005607F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607F7" w:rsidRDefault="005607F7" w:rsidP="005607F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Пояснительная записка </w:t>
      </w:r>
    </w:p>
    <w:p w:rsidR="005607F7" w:rsidRDefault="005607F7" w:rsidP="005607F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проведению диагностических работ, мониторингов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учащихся 2-10 классов на 2019 – 2020 учебный год</w:t>
      </w:r>
    </w:p>
    <w:p w:rsidR="005607F7" w:rsidRDefault="005607F7" w:rsidP="005607F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607F7" w:rsidRPr="00E84123" w:rsidRDefault="005607F7" w:rsidP="005607F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Общая информация</w:t>
      </w:r>
    </w:p>
    <w:p w:rsidR="005607F7" w:rsidRPr="00E84123" w:rsidRDefault="005607F7" w:rsidP="005607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4123">
        <w:rPr>
          <w:color w:val="000000"/>
          <w:sz w:val="28"/>
          <w:szCs w:val="28"/>
        </w:rPr>
        <w:t xml:space="preserve">ачество образования в современных условиях </w:t>
      </w:r>
      <w:r>
        <w:rPr>
          <w:color w:val="000000"/>
          <w:sz w:val="28"/>
          <w:szCs w:val="28"/>
        </w:rPr>
        <w:t xml:space="preserve"> - одна из тех важных </w:t>
      </w:r>
      <w:r w:rsidRPr="00E84123">
        <w:rPr>
          <w:color w:val="000000"/>
          <w:sz w:val="28"/>
          <w:szCs w:val="28"/>
        </w:rPr>
        <w:t xml:space="preserve">характеристик, которая определяет конкурентоспособность образовательных </w:t>
      </w:r>
    </w:p>
    <w:p w:rsidR="005607F7" w:rsidRDefault="005607F7" w:rsidP="005607F7">
      <w:pPr>
        <w:shd w:val="clear" w:color="auto" w:fill="FFFFFF"/>
        <w:jc w:val="both"/>
        <w:rPr>
          <w:color w:val="000000"/>
          <w:sz w:val="28"/>
          <w:szCs w:val="28"/>
        </w:rPr>
      </w:pPr>
      <w:r w:rsidRPr="00E84123">
        <w:rPr>
          <w:color w:val="000000"/>
          <w:sz w:val="28"/>
          <w:szCs w:val="28"/>
        </w:rPr>
        <w:t xml:space="preserve">учреждений.  </w:t>
      </w:r>
    </w:p>
    <w:p w:rsidR="005607F7" w:rsidRPr="00E84123" w:rsidRDefault="005607F7" w:rsidP="005607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23">
        <w:rPr>
          <w:color w:val="000000"/>
          <w:sz w:val="28"/>
          <w:szCs w:val="28"/>
        </w:rPr>
        <w:t xml:space="preserve">Формирование  муниципальной  системы  оценки  качества образования  является  приоритетным  направлением  развития  системы образования  в  целом.  Кроме  того,  это  важный  шаг  к  построению  систем </w:t>
      </w:r>
    </w:p>
    <w:p w:rsidR="005607F7" w:rsidRPr="00E84123" w:rsidRDefault="005607F7" w:rsidP="005607F7">
      <w:pPr>
        <w:shd w:val="clear" w:color="auto" w:fill="FFFFFF"/>
        <w:jc w:val="both"/>
        <w:rPr>
          <w:color w:val="000000"/>
          <w:sz w:val="28"/>
          <w:szCs w:val="28"/>
        </w:rPr>
      </w:pPr>
      <w:r w:rsidRPr="00E84123">
        <w:rPr>
          <w:color w:val="000000"/>
          <w:sz w:val="28"/>
          <w:szCs w:val="28"/>
        </w:rPr>
        <w:t xml:space="preserve">управления  качеством  на  всех  уровнях,  наличие  которых  определяет возможность получения своевременной, объективной, полной и достоверной </w:t>
      </w:r>
    </w:p>
    <w:p w:rsidR="005607F7" w:rsidRDefault="005607F7" w:rsidP="005607F7">
      <w:pPr>
        <w:shd w:val="clear" w:color="auto" w:fill="FFFFFF"/>
        <w:jc w:val="both"/>
        <w:rPr>
          <w:color w:val="000000"/>
          <w:sz w:val="28"/>
          <w:szCs w:val="28"/>
        </w:rPr>
      </w:pPr>
      <w:r w:rsidRPr="00E84123">
        <w:rPr>
          <w:color w:val="000000"/>
          <w:sz w:val="28"/>
          <w:szCs w:val="28"/>
        </w:rPr>
        <w:t>информации   для   принятия   управленческих   решений   органами муниципального   управления,   администрацией   общеобразовательных учр</w:t>
      </w:r>
      <w:r>
        <w:rPr>
          <w:color w:val="000000"/>
          <w:sz w:val="28"/>
          <w:szCs w:val="28"/>
        </w:rPr>
        <w:t>еждений</w:t>
      </w:r>
      <w:r w:rsidRPr="00E84123">
        <w:rPr>
          <w:color w:val="000000"/>
          <w:sz w:val="28"/>
          <w:szCs w:val="28"/>
        </w:rPr>
        <w:t>.</w:t>
      </w:r>
    </w:p>
    <w:p w:rsidR="005607F7" w:rsidRPr="00E84123" w:rsidRDefault="005607F7" w:rsidP="005607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23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</w:t>
      </w:r>
      <w:r w:rsidRPr="00E84123">
        <w:rPr>
          <w:color w:val="000000"/>
          <w:sz w:val="28"/>
          <w:szCs w:val="28"/>
        </w:rPr>
        <w:t xml:space="preserve">муниципальной </w:t>
      </w:r>
      <w:proofErr w:type="gramStart"/>
      <w:r w:rsidRPr="00E84123">
        <w:rPr>
          <w:color w:val="000000"/>
          <w:sz w:val="28"/>
          <w:szCs w:val="28"/>
        </w:rPr>
        <w:t xml:space="preserve">системы оценки качества образования </w:t>
      </w:r>
      <w:r>
        <w:rPr>
          <w:color w:val="000000"/>
          <w:sz w:val="28"/>
          <w:szCs w:val="28"/>
        </w:rPr>
        <w:t>муниципального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Белебеевский</w:t>
      </w:r>
      <w:proofErr w:type="spellEnd"/>
      <w:r>
        <w:rPr>
          <w:color w:val="000000"/>
          <w:sz w:val="28"/>
          <w:szCs w:val="28"/>
        </w:rPr>
        <w:t xml:space="preserve"> район – в</w:t>
      </w:r>
      <w:r w:rsidRPr="00E84123">
        <w:rPr>
          <w:color w:val="000000"/>
          <w:sz w:val="28"/>
          <w:szCs w:val="28"/>
        </w:rPr>
        <w:t>ыстраивание   механизма   получения,   обработки,   хранения, предоставления и использования в управленческой практике информации для реализации процедур у</w:t>
      </w:r>
      <w:r>
        <w:rPr>
          <w:color w:val="000000"/>
          <w:sz w:val="28"/>
          <w:szCs w:val="28"/>
        </w:rPr>
        <w:t>правления качеством образования; формирование единого методического подхода к оценке качества образования.</w:t>
      </w:r>
    </w:p>
    <w:p w:rsidR="005607F7" w:rsidRDefault="005607F7" w:rsidP="005607F7">
      <w:pPr>
        <w:ind w:firstLine="709"/>
        <w:jc w:val="both"/>
        <w:rPr>
          <w:sz w:val="28"/>
          <w:szCs w:val="28"/>
        </w:rPr>
      </w:pPr>
      <w:r w:rsidRPr="00E84123">
        <w:rPr>
          <w:sz w:val="28"/>
          <w:szCs w:val="28"/>
        </w:rPr>
        <w:t xml:space="preserve"> В 2019-2020</w:t>
      </w:r>
      <w:r>
        <w:rPr>
          <w:sz w:val="28"/>
          <w:szCs w:val="28"/>
        </w:rPr>
        <w:t xml:space="preserve"> учебном году определены диагностические работы, мониторинги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по русскому языку, математике, окружающему миру, истории, физике, химии, биологии, географии.</w:t>
      </w:r>
    </w:p>
    <w:p w:rsidR="005607F7" w:rsidRDefault="005607F7" w:rsidP="00560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предмета «Окружающий мир» способствует </w:t>
      </w:r>
      <w:r w:rsidRPr="00B47005">
        <w:rPr>
          <w:sz w:val="28"/>
          <w:szCs w:val="28"/>
        </w:rPr>
        <w:t xml:space="preserve">общему </w:t>
      </w:r>
      <w:r w:rsidRPr="00892711">
        <w:rPr>
          <w:sz w:val="28"/>
          <w:szCs w:val="28"/>
        </w:rPr>
        <w:t xml:space="preserve"> развитию и воспитанию ребенка. Успешность изучения курса обеспечивает результативность </w:t>
      </w:r>
      <w:proofErr w:type="gramStart"/>
      <w:r w:rsidRPr="00892711">
        <w:rPr>
          <w:sz w:val="28"/>
          <w:szCs w:val="28"/>
        </w:rPr>
        <w:t>обучения по</w:t>
      </w:r>
      <w:proofErr w:type="gramEnd"/>
      <w:r w:rsidRPr="00892711">
        <w:rPr>
          <w:sz w:val="28"/>
          <w:szCs w:val="28"/>
        </w:rPr>
        <w:t xml:space="preserve"> другим предметам.</w:t>
      </w:r>
    </w:p>
    <w:p w:rsidR="005607F7" w:rsidRDefault="005607F7" w:rsidP="005607F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Цель диагностических работ по русскому языку, математике в параллели 3 классов – </w:t>
      </w:r>
      <w:r w:rsidRPr="00B47005">
        <w:rPr>
          <w:sz w:val="28"/>
          <w:szCs w:val="28"/>
          <w:shd w:val="clear" w:color="auto" w:fill="FFFFFF"/>
        </w:rPr>
        <w:t>осуществить объективную индивидуальную оценку учебных достижений</w:t>
      </w:r>
      <w:r>
        <w:rPr>
          <w:sz w:val="28"/>
          <w:szCs w:val="28"/>
          <w:shd w:val="clear" w:color="auto" w:fill="FFFFFF"/>
        </w:rPr>
        <w:t>,</w:t>
      </w:r>
      <w:r w:rsidRPr="00B47005">
        <w:rPr>
          <w:sz w:val="28"/>
          <w:szCs w:val="28"/>
          <w:shd w:val="clear" w:color="auto" w:fill="FFFFFF"/>
        </w:rPr>
        <w:t xml:space="preserve"> результатов освоения основной образовательной программы </w:t>
      </w:r>
      <w:r>
        <w:rPr>
          <w:sz w:val="28"/>
          <w:szCs w:val="28"/>
          <w:shd w:val="clear" w:color="auto" w:fill="FFFFFF"/>
        </w:rPr>
        <w:t>начального общего образования.</w:t>
      </w:r>
    </w:p>
    <w:p w:rsidR="005607F7" w:rsidRDefault="005607F7" w:rsidP="005607F7">
      <w:pPr>
        <w:ind w:firstLine="709"/>
        <w:jc w:val="both"/>
      </w:pPr>
      <w:r w:rsidRPr="00892711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(5,8,9 класс) </w:t>
      </w:r>
      <w:r w:rsidRPr="00892711">
        <w:rPr>
          <w:sz w:val="28"/>
          <w:szCs w:val="28"/>
        </w:rPr>
        <w:t xml:space="preserve"> и русский язык</w:t>
      </w:r>
      <w:r>
        <w:rPr>
          <w:sz w:val="28"/>
          <w:szCs w:val="28"/>
        </w:rPr>
        <w:t xml:space="preserve"> (9, 10 класс)</w:t>
      </w:r>
      <w:r w:rsidRPr="00892711">
        <w:rPr>
          <w:sz w:val="28"/>
          <w:szCs w:val="28"/>
        </w:rPr>
        <w:t xml:space="preserve"> выбраны для мониторинга как предметы, подлежащие обязательной государственной (итоговой) аттестации, что делает актуальной информацию об уровне </w:t>
      </w:r>
      <w:proofErr w:type="spellStart"/>
      <w:r w:rsidRPr="00892711">
        <w:rPr>
          <w:sz w:val="28"/>
          <w:szCs w:val="28"/>
        </w:rPr>
        <w:t>обученности</w:t>
      </w:r>
      <w:proofErr w:type="spellEnd"/>
      <w:r w:rsidRPr="00892711">
        <w:rPr>
          <w:sz w:val="28"/>
          <w:szCs w:val="28"/>
        </w:rPr>
        <w:t xml:space="preserve"> учащихся</w:t>
      </w:r>
      <w:r w:rsidRPr="00892711">
        <w:t>.</w:t>
      </w:r>
    </w:p>
    <w:p w:rsidR="005607F7" w:rsidRDefault="005607F7" w:rsidP="005607F7">
      <w:pPr>
        <w:ind w:firstLine="709"/>
        <w:jc w:val="both"/>
        <w:rPr>
          <w:sz w:val="28"/>
          <w:szCs w:val="28"/>
        </w:rPr>
      </w:pPr>
      <w:r w:rsidRPr="00B47005">
        <w:rPr>
          <w:sz w:val="28"/>
          <w:szCs w:val="28"/>
        </w:rPr>
        <w:t xml:space="preserve">Диагностические работы по истории (6 класс) позволят в динамике определить степень </w:t>
      </w:r>
      <w:proofErr w:type="spellStart"/>
      <w:r w:rsidRPr="00B47005">
        <w:rPr>
          <w:sz w:val="28"/>
          <w:szCs w:val="28"/>
        </w:rPr>
        <w:t>обученности</w:t>
      </w:r>
      <w:proofErr w:type="spellEnd"/>
      <w:r w:rsidRPr="00B47005">
        <w:rPr>
          <w:sz w:val="28"/>
          <w:szCs w:val="28"/>
        </w:rPr>
        <w:t xml:space="preserve"> учащихся и сравнить учебные достижения на начало и окончание учебного года.</w:t>
      </w:r>
    </w:p>
    <w:p w:rsidR="005607F7" w:rsidRDefault="005607F7" w:rsidP="00560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мониторинга в рамках создания муниципальной системы качества образования определены предметы «Физика», «Химия», </w:t>
      </w:r>
      <w:r>
        <w:rPr>
          <w:sz w:val="28"/>
          <w:szCs w:val="28"/>
        </w:rPr>
        <w:lastRenderedPageBreak/>
        <w:t>«Биология», «География» в связи с тем, что выпускники чаще выбирают именно эти предметы для прохождения ГИА. В параллели 8 классов проведение муниципальных проверочных работ обусловлено тем, что в 2020 году будут проведены ВПР по математике, русскому языку, а также географии, химии, биологии, физике в режиме апробации.</w:t>
      </w:r>
    </w:p>
    <w:p w:rsidR="005607F7" w:rsidRDefault="005607F7" w:rsidP="00560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проведения проверочных работ – получение объективной информации о состоянии и динамике развития качества образования обучающихся, выявление тенденций и проблем формирования у обучающихся практических, учебных и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для принятия обоснованных решений с целью повышения качества образования.</w:t>
      </w:r>
    </w:p>
    <w:p w:rsidR="005607F7" w:rsidRDefault="005607F7" w:rsidP="005607F7">
      <w:pPr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диагностических работ, </w:t>
      </w:r>
    </w:p>
    <w:p w:rsidR="005607F7" w:rsidRDefault="005607F7" w:rsidP="005607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мониторингов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</w:t>
      </w:r>
    </w:p>
    <w:p w:rsidR="005607F7" w:rsidRDefault="005607F7" w:rsidP="005607F7">
      <w:pPr>
        <w:ind w:firstLine="709"/>
        <w:jc w:val="center"/>
        <w:rPr>
          <w:sz w:val="28"/>
          <w:szCs w:val="28"/>
        </w:rPr>
      </w:pPr>
    </w:p>
    <w:p w:rsidR="005607F7" w:rsidRDefault="005607F7" w:rsidP="00560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Обучающиеся 2 - 10 классов принимают участие в диагностических работах в общеобразовательных организациях</w:t>
      </w:r>
      <w:r w:rsidRPr="00FA274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месту их обучения.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диагностических работ</w:t>
      </w:r>
      <w:r w:rsidRPr="00FA274D">
        <w:rPr>
          <w:sz w:val="28"/>
          <w:szCs w:val="28"/>
        </w:rPr>
        <w:t xml:space="preserve"> осуществляется представителями администрации ОО. </w:t>
      </w:r>
    </w:p>
    <w:p w:rsidR="005607F7" w:rsidRDefault="005607F7" w:rsidP="005607F7">
      <w:pPr>
        <w:ind w:firstLine="709"/>
        <w:jc w:val="both"/>
        <w:rPr>
          <w:sz w:val="28"/>
          <w:szCs w:val="28"/>
        </w:rPr>
      </w:pPr>
      <w:r w:rsidRPr="00FA274D">
        <w:rPr>
          <w:sz w:val="28"/>
          <w:szCs w:val="28"/>
        </w:rPr>
        <w:t>Рекомендуемое время проведения</w:t>
      </w:r>
      <w:r>
        <w:rPr>
          <w:sz w:val="28"/>
          <w:szCs w:val="28"/>
        </w:rPr>
        <w:t xml:space="preserve"> диагностических работ: 2-3 урок в расписании ОО.</w:t>
      </w:r>
    </w:p>
    <w:p w:rsidR="005607F7" w:rsidRDefault="005607F7" w:rsidP="005607F7">
      <w:pPr>
        <w:ind w:firstLine="709"/>
        <w:jc w:val="both"/>
        <w:rPr>
          <w:sz w:val="28"/>
          <w:szCs w:val="28"/>
        </w:rPr>
      </w:pPr>
      <w:r w:rsidRPr="00FA274D">
        <w:rPr>
          <w:sz w:val="28"/>
          <w:szCs w:val="28"/>
        </w:rPr>
        <w:t>Контрол</w:t>
      </w:r>
      <w:r>
        <w:rPr>
          <w:sz w:val="28"/>
          <w:szCs w:val="28"/>
        </w:rPr>
        <w:t>ьные измерительные материалы формируются рабочей группой. Общеобразовательные организации получают задания за 1 день до проведения диагностической работы. Ответственный организатор (заместитель директора по УВР)  несет ответственность за тиражирование материалов,  за достоверность предоставляемых данных.</w:t>
      </w:r>
    </w:p>
    <w:p w:rsidR="005607F7" w:rsidRDefault="005607F7" w:rsidP="005607F7">
      <w:pPr>
        <w:ind w:firstLine="709"/>
        <w:jc w:val="both"/>
        <w:rPr>
          <w:sz w:val="28"/>
          <w:szCs w:val="28"/>
        </w:rPr>
      </w:pPr>
      <w:r w:rsidRPr="00FA274D">
        <w:rPr>
          <w:sz w:val="28"/>
          <w:szCs w:val="28"/>
        </w:rPr>
        <w:t xml:space="preserve">Критерии оценивания заданий и электронная форма для сбора результатов </w:t>
      </w:r>
      <w:r>
        <w:rPr>
          <w:sz w:val="28"/>
          <w:szCs w:val="28"/>
        </w:rPr>
        <w:t>передаются ОО по электронной почте</w:t>
      </w:r>
      <w:r w:rsidRPr="00FA274D">
        <w:rPr>
          <w:sz w:val="28"/>
          <w:szCs w:val="28"/>
        </w:rPr>
        <w:t xml:space="preserve"> в день проведения работы. </w:t>
      </w:r>
    </w:p>
    <w:p w:rsidR="005607F7" w:rsidRDefault="005607F7" w:rsidP="00560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Проверка работ обучающихся. </w:t>
      </w:r>
    </w:p>
    <w:p w:rsidR="005607F7" w:rsidRDefault="005607F7" w:rsidP="00560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учащихся проверяются муниципальной экспертной комиссией. Оценивание проводиться строго по разработанным критериям. Экспертная комиссия заполняет диагностические карты. Руководитель РМО пишет аналитическую справку по итогам проведения диагностической работы, мониторинга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. Результаты работы доводятся до сведения учащихся, их родителей, администрации школы. </w:t>
      </w:r>
    </w:p>
    <w:p w:rsidR="005607F7" w:rsidRPr="00FA274D" w:rsidRDefault="005607F7" w:rsidP="00560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Учитель-предметник выявляет типичные ошибки учащихся, проводит работу по устранению пробелов в знаниях учащихся.</w:t>
      </w: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</w:pPr>
    </w:p>
    <w:p w:rsidR="005607F7" w:rsidRDefault="005607F7" w:rsidP="005607F7">
      <w:pPr>
        <w:tabs>
          <w:tab w:val="left" w:pos="1700"/>
        </w:tabs>
        <w:ind w:firstLine="709"/>
        <w:jc w:val="both"/>
        <w:rPr>
          <w:sz w:val="28"/>
          <w:szCs w:val="28"/>
        </w:rPr>
        <w:sectPr w:rsidR="005607F7" w:rsidSect="005715D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530"/>
        <w:gridCol w:w="2320"/>
        <w:gridCol w:w="1134"/>
        <w:gridCol w:w="619"/>
        <w:gridCol w:w="232"/>
        <w:gridCol w:w="850"/>
        <w:gridCol w:w="71"/>
        <w:gridCol w:w="922"/>
        <w:gridCol w:w="590"/>
        <w:gridCol w:w="402"/>
        <w:gridCol w:w="890"/>
        <w:gridCol w:w="102"/>
        <w:gridCol w:w="1199"/>
        <w:gridCol w:w="77"/>
        <w:gridCol w:w="954"/>
        <w:gridCol w:w="180"/>
        <w:gridCol w:w="850"/>
        <w:gridCol w:w="147"/>
        <w:gridCol w:w="987"/>
        <w:gridCol w:w="43"/>
        <w:gridCol w:w="236"/>
        <w:gridCol w:w="713"/>
        <w:gridCol w:w="274"/>
        <w:gridCol w:w="236"/>
        <w:gridCol w:w="625"/>
      </w:tblGrid>
      <w:tr w:rsidR="005607F7" w:rsidRPr="00A82AE6" w:rsidTr="00873D05">
        <w:trPr>
          <w:gridAfter w:val="1"/>
          <w:wAfter w:w="625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07F7" w:rsidRPr="00A82AE6" w:rsidTr="00873D05">
        <w:trPr>
          <w:gridAfter w:val="23"/>
          <w:wAfter w:w="12333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2AE6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82AE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82AE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Наименование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center"/>
              <w:rPr>
                <w:b/>
                <w:bCs/>
                <w:color w:val="000000"/>
              </w:rPr>
            </w:pPr>
            <w:r w:rsidRPr="00A82AE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E4B79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center"/>
              <w:rPr>
                <w:b/>
                <w:bCs/>
                <w:color w:val="000000"/>
              </w:rPr>
            </w:pPr>
            <w:r w:rsidRPr="00A82AE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E4B79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center"/>
              <w:rPr>
                <w:b/>
                <w:bCs/>
                <w:color w:val="000000"/>
              </w:rPr>
            </w:pPr>
            <w:r w:rsidRPr="00A82AE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E4B79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center"/>
              <w:rPr>
                <w:b/>
                <w:bCs/>
                <w:color w:val="000000"/>
              </w:rPr>
            </w:pPr>
            <w:r w:rsidRPr="00A82AE6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E4B79"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center"/>
              <w:rPr>
                <w:b/>
                <w:bCs/>
                <w:color w:val="000000"/>
              </w:rPr>
            </w:pPr>
            <w:r w:rsidRPr="00A82AE6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center"/>
              <w:rPr>
                <w:b/>
                <w:bCs/>
                <w:color w:val="000000"/>
              </w:rPr>
            </w:pPr>
            <w:r w:rsidRPr="00A82AE6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center"/>
              <w:rPr>
                <w:b/>
                <w:bCs/>
                <w:color w:val="000000"/>
              </w:rPr>
            </w:pPr>
            <w:r w:rsidRPr="00A82AE6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center"/>
              <w:rPr>
                <w:b/>
                <w:bCs/>
                <w:color w:val="000000"/>
              </w:rPr>
            </w:pPr>
            <w:r w:rsidRPr="00A82AE6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класс</w:t>
            </w: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 xml:space="preserve">мониторинг </w:t>
            </w:r>
            <w:proofErr w:type="spellStart"/>
            <w:r w:rsidRPr="00A82AE6"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 xml:space="preserve">мониторинг </w:t>
            </w:r>
            <w:proofErr w:type="spellStart"/>
            <w:r w:rsidRPr="00A82AE6"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 xml:space="preserve">диагностическая работа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гимназия №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proofErr w:type="gramStart"/>
            <w:r w:rsidRPr="00A82AE6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по окружающему миру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proofErr w:type="gramStart"/>
            <w:r w:rsidRPr="00A82AE6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по русскому языку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proofErr w:type="gramStart"/>
            <w:r w:rsidRPr="00A82AE6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по математике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Входной контроль по математике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proofErr w:type="gramStart"/>
            <w:r w:rsidRPr="00A82AE6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по истории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proofErr w:type="gramStart"/>
            <w:r w:rsidRPr="00A82AE6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по русскому языку</w:t>
            </w:r>
          </w:p>
        </w:tc>
      </w:tr>
      <w:tr w:rsidR="005607F7" w:rsidRPr="00A82AE6" w:rsidTr="00873D05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Башкирская гимназия-интернат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МБОУ Чувашская гимназия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Татарская гимназия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СОШ № 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СОШ №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СОШ № 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СОШ № 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СОШ № 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СОШ № 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СОШ № 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СОШ № 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МБОУ Школа-интернат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СОШ № 41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 xml:space="preserve">МАОУ СОШ с. </w:t>
            </w:r>
            <w:r w:rsidRPr="00A82AE6">
              <w:rPr>
                <w:color w:val="000000"/>
                <w:sz w:val="22"/>
                <w:szCs w:val="22"/>
              </w:rPr>
              <w:lastRenderedPageBreak/>
              <w:t>Баженово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</w:t>
            </w:r>
            <w:r w:rsidRPr="00A82AE6">
              <w:rPr>
                <w:color w:val="000000"/>
                <w:sz w:val="22"/>
                <w:szCs w:val="22"/>
              </w:rPr>
              <w:lastRenderedPageBreak/>
              <w:t>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lastRenderedPageBreak/>
              <w:t>химии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</w:t>
            </w:r>
            <w:r w:rsidRPr="00A82AE6">
              <w:rPr>
                <w:color w:val="000000"/>
                <w:sz w:val="22"/>
                <w:szCs w:val="22"/>
              </w:rPr>
              <w:lastRenderedPageBreak/>
              <w:t>ке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lastRenderedPageBreak/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lastRenderedPageBreak/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СОШ с. Ермолкино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 xml:space="preserve">МАОУ СОШ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. Знаменка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 xml:space="preserve">МАОУ СОШ с. </w:t>
            </w:r>
            <w:proofErr w:type="spellStart"/>
            <w:r w:rsidRPr="00A82AE6">
              <w:rPr>
                <w:color w:val="000000"/>
                <w:sz w:val="22"/>
                <w:szCs w:val="22"/>
              </w:rPr>
              <w:t>Слакбаш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СОШ с. ЦУП им. М. Горького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 xml:space="preserve">МАОУ СОШ с. </w:t>
            </w:r>
            <w:proofErr w:type="spellStart"/>
            <w:r w:rsidRPr="00A82AE6">
              <w:rPr>
                <w:color w:val="000000"/>
                <w:sz w:val="22"/>
                <w:szCs w:val="22"/>
              </w:rPr>
              <w:t>Усень</w:t>
            </w:r>
            <w:proofErr w:type="spellEnd"/>
            <w:r w:rsidRPr="00A82AE6">
              <w:rPr>
                <w:color w:val="000000"/>
                <w:sz w:val="22"/>
                <w:szCs w:val="22"/>
              </w:rPr>
              <w:t xml:space="preserve"> - Ивановское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МАОУ ООШ д. Шаровка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 xml:space="preserve">МАОУ ООШ с. санатория </w:t>
            </w:r>
            <w:proofErr w:type="spellStart"/>
            <w:r w:rsidRPr="00A82AE6">
              <w:rPr>
                <w:color w:val="000000"/>
                <w:sz w:val="22"/>
                <w:szCs w:val="22"/>
              </w:rPr>
              <w:t>Глуховского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 xml:space="preserve">МАОУ ООШ с. </w:t>
            </w:r>
            <w:proofErr w:type="spellStart"/>
            <w:r w:rsidRPr="00A82AE6">
              <w:rPr>
                <w:color w:val="000000"/>
                <w:sz w:val="22"/>
                <w:szCs w:val="22"/>
              </w:rPr>
              <w:t>Метевбаш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jc w:val="right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 xml:space="preserve">МАОУ ООШ с. </w:t>
            </w:r>
            <w:proofErr w:type="spellStart"/>
            <w:r w:rsidRPr="00A82AE6">
              <w:rPr>
                <w:color w:val="000000"/>
                <w:sz w:val="22"/>
                <w:szCs w:val="22"/>
              </w:rPr>
              <w:t>Старосеменкино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физике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математике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2AE6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A82AE6">
              <w:rPr>
                <w:color w:val="000000"/>
                <w:sz w:val="22"/>
                <w:szCs w:val="22"/>
              </w:rPr>
              <w:t>зыку</w:t>
            </w: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</w:p>
        </w:tc>
      </w:tr>
      <w:tr w:rsidR="005607F7" w:rsidRPr="00A82AE6" w:rsidTr="00873D05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F7" w:rsidRPr="00A82AE6" w:rsidRDefault="005607F7" w:rsidP="00873D05">
            <w:pPr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A82AE6" w:rsidRDefault="005607F7" w:rsidP="00873D05">
            <w:pPr>
              <w:jc w:val="center"/>
              <w:rPr>
                <w:color w:val="000000"/>
              </w:rPr>
            </w:pPr>
            <w:r w:rsidRPr="00A82AE6">
              <w:rPr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Pr="005715D3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17.03.</w:t>
            </w:r>
          </w:p>
          <w:p w:rsidR="005607F7" w:rsidRPr="005715D3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Default="005607F7" w:rsidP="00873D05">
            <w:pPr>
              <w:jc w:val="right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19.03.</w:t>
            </w:r>
          </w:p>
          <w:p w:rsidR="005607F7" w:rsidRPr="005715D3" w:rsidRDefault="005607F7" w:rsidP="00873D05">
            <w:pPr>
              <w:jc w:val="right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Default="005607F7" w:rsidP="00873D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5D3">
              <w:rPr>
                <w:b/>
                <w:bCs/>
                <w:color w:val="000000"/>
                <w:sz w:val="20"/>
                <w:szCs w:val="20"/>
              </w:rPr>
              <w:t>18.09.</w:t>
            </w:r>
          </w:p>
          <w:p w:rsidR="005607F7" w:rsidRPr="005715D3" w:rsidRDefault="005607F7" w:rsidP="00873D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15D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Default="005607F7" w:rsidP="00873D05">
            <w:pPr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22.10.</w:t>
            </w:r>
          </w:p>
          <w:p w:rsidR="005607F7" w:rsidRDefault="005607F7" w:rsidP="00873D05">
            <w:pPr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2019       18.03</w:t>
            </w:r>
          </w:p>
          <w:p w:rsidR="005607F7" w:rsidRPr="005715D3" w:rsidRDefault="005607F7" w:rsidP="00873D05">
            <w:pPr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F7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18.03.</w:t>
            </w:r>
          </w:p>
          <w:p w:rsidR="005607F7" w:rsidRPr="005715D3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25.12.</w:t>
            </w:r>
          </w:p>
          <w:p w:rsidR="005607F7" w:rsidRPr="005715D3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22.10.</w:t>
            </w:r>
          </w:p>
          <w:p w:rsidR="005607F7" w:rsidRPr="005715D3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19.03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607F7" w:rsidRPr="005715D3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23.10.</w:t>
            </w:r>
          </w:p>
          <w:p w:rsidR="005607F7" w:rsidRPr="005715D3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25.10.</w:t>
            </w:r>
          </w:p>
          <w:p w:rsidR="005607F7" w:rsidRPr="005715D3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F7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28.04.</w:t>
            </w:r>
          </w:p>
          <w:p w:rsidR="005607F7" w:rsidRPr="005715D3" w:rsidRDefault="005607F7" w:rsidP="00873D05">
            <w:pPr>
              <w:jc w:val="center"/>
              <w:rPr>
                <w:color w:val="000000"/>
                <w:sz w:val="20"/>
                <w:szCs w:val="20"/>
              </w:rPr>
            </w:pPr>
            <w:r w:rsidRPr="005715D3">
              <w:rPr>
                <w:color w:val="000000"/>
                <w:sz w:val="20"/>
                <w:szCs w:val="20"/>
              </w:rPr>
              <w:t>2020</w:t>
            </w:r>
          </w:p>
        </w:tc>
      </w:tr>
    </w:tbl>
    <w:p w:rsidR="00232BFD" w:rsidRDefault="00232BFD"/>
    <w:sectPr w:rsidR="00232BFD" w:rsidSect="005607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07F7"/>
    <w:rsid w:val="00232BFD"/>
    <w:rsid w:val="0056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2D626-2A8A-4B06-9B4D-1A8EBFE4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2020-09-28T07:49:00Z</dcterms:created>
  <dcterms:modified xsi:type="dcterms:W3CDTF">2020-09-28T07:50:00Z</dcterms:modified>
</cp:coreProperties>
</file>